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center"/>
        <w:rPr>
          <w:b/>
          <w:sz w:val="6"/>
          <w:szCs w:val="24"/>
        </w:rPr>
      </w:pPr>
      <w:r>
        <w:rPr>
          <w:b/>
          <w:sz w:val="6"/>
          <w:szCs w:val="24"/>
        </w:rPr>
        <w:t xml:space="preserve"> </w:t>
      </w:r>
      <w:r>
        <w:rPr>
          <w:b/>
          <w:sz w:val="6"/>
          <w:szCs w:val="24"/>
        </w:rPr>
      </w:r>
      <w:r/>
    </w:p>
    <w:p>
      <w:pPr>
        <w:pStyle w:val="8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</w:t>
      </w:r>
      <w:r/>
    </w:p>
    <w:p>
      <w:pPr>
        <w:pStyle w:val="865"/>
        <w:ind w:left="284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контрольных мероприятий </w:t>
      </w:r>
      <w:r>
        <w:rPr>
          <w:b/>
          <w:color w:val="000000"/>
          <w:sz w:val="24"/>
          <w:szCs w:val="24"/>
        </w:rPr>
        <w:t xml:space="preserve">Департамента Росгидромета по ПФО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в рамках ведомственного контроля</w:t>
      </w:r>
      <w:r>
        <w:rPr>
          <w:b/>
          <w:color w:val="000000"/>
          <w:sz w:val="24"/>
          <w:szCs w:val="24"/>
        </w:rPr>
        <w:t xml:space="preserve"> на 20</w:t>
      </w:r>
      <w:r>
        <w:rPr>
          <w:b/>
          <w:color w:val="000000"/>
          <w:sz w:val="24"/>
          <w:szCs w:val="24"/>
        </w:rPr>
        <w:t xml:space="preserve">2</w:t>
      </w:r>
      <w:r>
        <w:rPr>
          <w:b/>
          <w:color w:val="000000"/>
          <w:sz w:val="24"/>
          <w:szCs w:val="24"/>
        </w:rPr>
        <w:t xml:space="preserve">4 год</w:t>
      </w:r>
      <w:r>
        <w:rPr>
          <w:b/>
          <w:color w:val="000000"/>
          <w:sz w:val="24"/>
          <w:szCs w:val="24"/>
        </w:rPr>
      </w:r>
      <w:r/>
    </w:p>
    <w:p>
      <w:pPr>
        <w:pStyle w:val="864"/>
      </w:pPr>
      <w:r/>
      <w:r/>
    </w:p>
    <w:p>
      <w:pPr>
        <w:pStyle w:val="864"/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</w:r>
      <w:r/>
    </w:p>
    <w:p>
      <w:pPr>
        <w:pStyle w:val="864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864"/>
        <w:ind w:left="284"/>
        <w:jc w:val="both"/>
        <w:rPr>
          <w:sz w:val="10"/>
          <w:szCs w:val="24"/>
        </w:rPr>
      </w:pPr>
      <w:r>
        <w:rPr>
          <w:sz w:val="10"/>
          <w:szCs w:val="24"/>
        </w:rPr>
      </w:r>
      <w:r>
        <w:rPr>
          <w:sz w:val="10"/>
          <w:szCs w:val="24"/>
        </w:rPr>
      </w:r>
      <w:r/>
    </w:p>
    <w:p>
      <w:pPr>
        <w:pStyle w:val="864"/>
        <w:ind w:left="284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приказом Росгидромета от 19</w:t>
      </w:r>
      <w:r>
        <w:rPr>
          <w:sz w:val="24"/>
          <w:szCs w:val="24"/>
        </w:rPr>
        <w:t xml:space="preserve">.12.202</w:t>
      </w:r>
      <w:r>
        <w:rPr>
          <w:sz w:val="24"/>
          <w:szCs w:val="24"/>
        </w:rPr>
        <w:t xml:space="preserve">3г. № </w:t>
      </w:r>
      <w:r>
        <w:rPr>
          <w:sz w:val="24"/>
          <w:szCs w:val="24"/>
        </w:rPr>
        <w:t xml:space="preserve">612</w:t>
      </w:r>
      <w:r>
        <w:rPr>
          <w:sz w:val="24"/>
          <w:szCs w:val="24"/>
        </w:rPr>
        <w:t xml:space="preserve"> «Об утверждении Плана контрольных мероприятий Федеральной службы по гидрометеорологии и мониторингу окружающей среды в рамках ведомс</w:t>
      </w:r>
      <w:r>
        <w:rPr>
          <w:sz w:val="24"/>
          <w:szCs w:val="24"/>
        </w:rPr>
        <w:t xml:space="preserve">твенного контроля на 202</w:t>
      </w:r>
      <w:r>
        <w:rPr>
          <w:sz w:val="24"/>
          <w:szCs w:val="24"/>
        </w:rPr>
        <w:t xml:space="preserve">4 год» 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</w:t>
      </w:r>
      <w:r>
        <w:rPr>
          <w:sz w:val="24"/>
          <w:szCs w:val="24"/>
          <w:highlight w:val="green"/>
        </w:rPr>
      </w:r>
      <w:r/>
    </w:p>
    <w:p>
      <w:pPr>
        <w:pStyle w:val="864"/>
        <w:ind w:left="284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/>
    </w:p>
    <w:p>
      <w:pPr>
        <w:pStyle w:val="864"/>
        <w:ind w:left="284"/>
        <w:jc w:val="both"/>
        <w:rPr>
          <w:sz w:val="24"/>
          <w:szCs w:val="24"/>
          <w:highlight w:val="none"/>
          <w:vertAlign w:val="baseli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приказом Росгидромета от 19</w:t>
      </w:r>
      <w:r>
        <w:rPr>
          <w:sz w:val="24"/>
          <w:szCs w:val="24"/>
        </w:rPr>
        <w:t xml:space="preserve">.12.202</w:t>
      </w:r>
      <w:r>
        <w:rPr>
          <w:sz w:val="24"/>
          <w:szCs w:val="24"/>
        </w:rPr>
        <w:t xml:space="preserve">3г. № </w:t>
      </w:r>
      <w:r>
        <w:rPr>
          <w:sz w:val="24"/>
          <w:szCs w:val="24"/>
        </w:rPr>
        <w:t xml:space="preserve">613 «Об утверждении Плана проверок соблюдения законодательства Российской Федерации о контрактной системе в сфере  закупок подведомственными Росгидромету заказчиками на 2024 год»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  <w:vertAlign w:val="baseline"/>
        </w:rPr>
        <w:t xml:space="preserve">,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green"/>
          <w:vertAlign w:val="baseline"/>
        </w:rPr>
      </w:r>
    </w:p>
    <w:p>
      <w:pPr>
        <w:pStyle w:val="864"/>
        <w:ind w:left="284"/>
        <w:jc w:val="both"/>
        <w:rPr>
          <w:sz w:val="24"/>
          <w:szCs w:val="24"/>
          <w:highlight w:val="green"/>
          <w:vertAlign w:val="baseline"/>
        </w:rPr>
      </w:pPr>
      <w:r>
        <w:rPr>
          <w:sz w:val="24"/>
          <w:szCs w:val="24"/>
          <w:highlight w:val="none"/>
          <w:vertAlign w:val="baseline"/>
        </w:rPr>
      </w:r>
      <w:r>
        <w:rPr>
          <w:sz w:val="24"/>
          <w:szCs w:val="24"/>
          <w:highlight w:val="none"/>
          <w:vertAlign w:val="baseline"/>
        </w:rPr>
      </w:r>
    </w:p>
    <w:p>
      <w:pPr>
        <w:pStyle w:val="864"/>
        <w:ind w:left="284"/>
        <w:jc w:val="both"/>
      </w:pPr>
      <w:r>
        <w:rPr>
          <w:sz w:val="24"/>
          <w:szCs w:val="24"/>
        </w:rPr>
        <w:t xml:space="preserve">приказом Росгидромета от 19.12.2023г. № 614</w:t>
      </w:r>
      <w:r>
        <w:rPr>
          <w:sz w:val="24"/>
          <w:szCs w:val="24"/>
        </w:rPr>
        <w:t xml:space="preserve"> «Об утверждении Плана проверок соблюдения требований </w:t>
      </w:r>
      <w:bookmarkStart w:id="0" w:name="_Hlk29464952"/>
      <w:r>
        <w:rPr>
          <w:sz w:val="24"/>
          <w:szCs w:val="24"/>
        </w:rPr>
        <w:t xml:space="preserve">Федерального закона </w:t>
      </w:r>
      <w:bookmarkEnd w:id="0"/>
      <w:r>
        <w:rPr>
          <w:rFonts w:eastAsia="Calibri"/>
          <w:sz w:val="24"/>
          <w:szCs w:val="24"/>
          <w:lang w:eastAsia="en-US"/>
        </w:rPr>
        <w:t xml:space="preserve">от 18.07.2011 </w:t>
      </w:r>
      <w:r>
        <w:rPr>
          <w:sz w:val="24"/>
          <w:szCs w:val="24"/>
        </w:rPr>
        <w:t xml:space="preserve">№</w:t>
      </w:r>
      <w:r>
        <w:rPr>
          <w:rFonts w:eastAsia="Calibri"/>
          <w:sz w:val="24"/>
          <w:szCs w:val="24"/>
          <w:lang w:eastAsia="en-US"/>
        </w:rPr>
        <w:t xml:space="preserve"> 223-ФЗ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rFonts w:eastAsia="Calibri"/>
          <w:sz w:val="24"/>
          <w:szCs w:val="24"/>
          <w:lang w:eastAsia="en-US"/>
        </w:rPr>
        <w:t xml:space="preserve">О закупках товаров, работ, услуг отдельными видами юридических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лиц</w:t>
      </w:r>
      <w:r>
        <w:rPr>
          <w:sz w:val="24"/>
          <w:szCs w:val="24"/>
        </w:rPr>
        <w:t xml:space="preserve">» и иных принятых в соответствии с ним </w:t>
      </w:r>
      <w:r>
        <w:rPr>
          <w:sz w:val="24"/>
          <w:szCs w:val="24"/>
        </w:rPr>
        <w:t xml:space="preserve">нормативных правовых</w:t>
      </w:r>
      <w:r>
        <w:rPr>
          <w:sz w:val="24"/>
          <w:szCs w:val="24"/>
        </w:rPr>
        <w:t xml:space="preserve"> актов Российской Федерации подведомственными </w:t>
      </w:r>
      <w:r>
        <w:rPr>
          <w:sz w:val="24"/>
          <w:szCs w:val="24"/>
        </w:rPr>
        <w:t xml:space="preserve">Росгидромету заказчиками на 2024</w:t>
      </w:r>
      <w:r>
        <w:rPr>
          <w:sz w:val="24"/>
          <w:szCs w:val="24"/>
        </w:rPr>
        <w:t xml:space="preserve"> год»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</w:r>
      <w:r/>
    </w:p>
    <w:p>
      <w:pPr>
        <w:pStyle w:val="864"/>
        <w:ind w:left="284"/>
        <w:jc w:val="both"/>
        <w:rPr>
          <w:sz w:val="24"/>
          <w:szCs w:val="24"/>
          <w:highlight w:val="green"/>
          <w:vertAlign w:val="baseline"/>
        </w:rPr>
      </w:pPr>
      <w:r>
        <w:rPr>
          <w:sz w:val="24"/>
          <w:szCs w:val="24"/>
          <w:highlight w:val="none"/>
          <w:vertAlign w:val="baseline"/>
        </w:rPr>
      </w:r>
      <w:r>
        <w:rPr>
          <w:sz w:val="24"/>
          <w:szCs w:val="24"/>
          <w:highlight w:val="green"/>
          <w:vertAlign w:val="baseline"/>
        </w:rPr>
      </w:r>
    </w:p>
    <w:p>
      <w:pPr>
        <w:pStyle w:val="864"/>
        <w:ind w:left="284"/>
        <w:jc w:val="both"/>
        <w:rPr>
          <w:sz w:val="10"/>
          <w:szCs w:val="24"/>
          <w:highlight w:val="green"/>
        </w:rPr>
      </w:pPr>
      <w:r>
        <w:rPr>
          <w:sz w:val="10"/>
          <w:szCs w:val="24"/>
          <w:highlight w:val="green"/>
        </w:rPr>
      </w:r>
      <w:r>
        <w:rPr>
          <w:sz w:val="10"/>
          <w:szCs w:val="24"/>
          <w:highlight w:val="green"/>
        </w:rPr>
      </w:r>
      <w:r/>
    </w:p>
    <w:p>
      <w:pPr>
        <w:pStyle w:val="865"/>
        <w:ind w:left="284" w:right="266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Департамент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Росгидромета по ПФО </w:t>
      </w:r>
      <w:r>
        <w:rPr>
          <w:sz w:val="24"/>
          <w:szCs w:val="24"/>
        </w:rPr>
        <w:t xml:space="preserve">в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 году </w:t>
      </w:r>
      <w:r>
        <w:rPr>
          <w:sz w:val="24"/>
          <w:szCs w:val="24"/>
        </w:rPr>
        <w:t xml:space="preserve">организует и проводит следующие</w:t>
      </w:r>
      <w:r>
        <w:rPr>
          <w:sz w:val="24"/>
          <w:szCs w:val="24"/>
        </w:rPr>
        <w:t xml:space="preserve"> контрольные м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роприятия:</w:t>
      </w:r>
      <w:r>
        <w:rPr>
          <w:sz w:val="24"/>
          <w:szCs w:val="24"/>
        </w:rPr>
      </w:r>
      <w:r/>
    </w:p>
    <w:p>
      <w:pPr>
        <w:pStyle w:val="864"/>
        <w:rPr>
          <w:sz w:val="10"/>
        </w:rPr>
      </w:pPr>
      <w:r>
        <w:rPr>
          <w:sz w:val="10"/>
        </w:rPr>
      </w:r>
      <w:r>
        <w:rPr>
          <w:sz w:val="10"/>
        </w:rPr>
      </w:r>
      <w:r/>
    </w:p>
    <w:tbl>
      <w:tblPr>
        <w:tblW w:w="15973" w:type="dxa"/>
        <w:jc w:val="center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34"/>
        <w:gridCol w:w="3015"/>
        <w:gridCol w:w="5345"/>
        <w:gridCol w:w="2026"/>
        <w:gridCol w:w="1276"/>
        <w:gridCol w:w="2977"/>
      </w:tblGrid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проверяемого </w:t>
            </w:r>
            <w:r/>
          </w:p>
          <w:p>
            <w:pPr>
              <w:pStyle w:val="8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учреждения Росгидром</w:t>
            </w:r>
            <w:r>
              <w:rPr>
                <w:b/>
                <w:sz w:val="22"/>
                <w:szCs w:val="22"/>
              </w:rPr>
              <w:t xml:space="preserve">е</w:t>
            </w:r>
            <w:r>
              <w:rPr>
                <w:b/>
                <w:sz w:val="22"/>
                <w:szCs w:val="22"/>
              </w:rPr>
              <w:t xml:space="preserve">та</w:t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контрольного меропри</w:t>
            </w:r>
            <w:r>
              <w:rPr>
                <w:b/>
                <w:sz w:val="22"/>
                <w:szCs w:val="22"/>
              </w:rPr>
              <w:t xml:space="preserve">я</w:t>
            </w:r>
            <w:r>
              <w:rPr>
                <w:b/>
                <w:sz w:val="22"/>
                <w:szCs w:val="22"/>
              </w:rPr>
              <w:t xml:space="preserve">тия</w:t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textDirection w:val="lrTb"/>
            <w:noWrap w:val="false"/>
          </w:tcPr>
          <w:p>
            <w:pPr>
              <w:pStyle w:val="864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</w:t>
            </w:r>
            <w:r/>
          </w:p>
          <w:p>
            <w:pPr>
              <w:pStyle w:val="864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проверки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4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провед</w:t>
            </w:r>
            <w:r>
              <w:rPr>
                <w:b/>
                <w:sz w:val="22"/>
                <w:szCs w:val="22"/>
              </w:rPr>
              <w:t xml:space="preserve">е</w:t>
            </w:r>
            <w:r>
              <w:rPr>
                <w:b/>
                <w:sz w:val="22"/>
                <w:szCs w:val="22"/>
              </w:rPr>
              <w:t xml:space="preserve">ния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4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Ответственный за проведение контрольного м</w:t>
            </w:r>
            <w:r>
              <w:rPr>
                <w:b/>
                <w:sz w:val="22"/>
                <w:szCs w:val="22"/>
              </w:rPr>
              <w:t xml:space="preserve">е</w:t>
            </w:r>
            <w:r>
              <w:rPr>
                <w:b/>
                <w:sz w:val="22"/>
                <w:szCs w:val="22"/>
              </w:rPr>
              <w:t xml:space="preserve">роприятия</w:t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(п.1</w:t>
            </w:r>
            <w:r>
              <w:rPr>
                <w:sz w:val="22"/>
                <w:szCs w:val="22"/>
                <w:vertAlign w:val="baseline"/>
              </w:rPr>
              <w:t xml:space="preserve">.</w:t>
            </w:r>
            <w:r>
              <w:rPr>
                <w:sz w:val="22"/>
                <w:szCs w:val="22"/>
                <w:vertAlign w:val="baseline"/>
              </w:rPr>
              <w:t xml:space="preserve">9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fill="FFFFFF" w:color="FFFFFF" w:themeFill="background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ФГБУ «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Приволж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ское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УГМС» 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организации работ по 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соблюдению установленных ограничений хозяйственной деятельности в пределах охранных зон стационарных пунктов наблюдений государственной наблюдательной сети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Комбинированная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март-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апрель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(п.</w:t>
            </w:r>
            <w:r>
              <w:rPr>
                <w:sz w:val="22"/>
                <w:szCs w:val="22"/>
                <w:vertAlign w:val="baseline"/>
              </w:rPr>
              <w:t xml:space="preserve">3.10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fill="FFFFFF" w:color="FFFFFF" w:themeFill="background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Марийский ЦГМС-ФГБУ «Верхне-Волжское УГМС»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ведения финансово-хозяйственной деятельности, бухгалтерского учета и достоверности отчетности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Комбинированная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март-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апрель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(п.</w:t>
            </w:r>
            <w:r>
              <w:rPr>
                <w:sz w:val="22"/>
                <w:szCs w:val="22"/>
                <w:vertAlign w:val="baseline"/>
              </w:rPr>
              <w:t xml:space="preserve">4.2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Марийский ЦГМС-ФГБУ «Верхне-Волжское УГМС»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соблюдения законодательства Российской Федерации при организации кадрового обеспечения, а также при организации работ в области антикоррупционного законодательства Российской Федерации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Комбинированная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март-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апрель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(п.1</w:t>
            </w:r>
            <w:r>
              <w:rPr>
                <w:sz w:val="22"/>
                <w:szCs w:val="22"/>
                <w:vertAlign w:val="baseline"/>
              </w:rPr>
              <w:t xml:space="preserve">.</w:t>
            </w:r>
            <w:r>
              <w:rPr>
                <w:sz w:val="22"/>
                <w:szCs w:val="22"/>
                <w:vertAlign w:val="baseline"/>
              </w:rPr>
              <w:t xml:space="preserve">17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fill="FFFFFF" w:color="FFFFFF" w:themeFill="background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ФГБУ «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Башкирское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УГМС»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формирования и обеспечения функционирования государственной наблюдательной сети, в том числе организации и прекращения деятельности стационарных и подвижных пунктов наблюдений, входящих в государственную наблюдательную сеть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Комбинированная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май-июнь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УГСН с участием</w:t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Департамента Росгидромета по ПФО.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shd w:val="clear" w:fill="FFFFFF" w:color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</w:pPr>
            <w:r>
              <w:rPr>
                <w:sz w:val="22"/>
                <w:szCs w:val="22"/>
              </w:rPr>
              <w:t xml:space="preserve">(п.1</w:t>
            </w:r>
            <w:r>
              <w:rPr>
                <w:sz w:val="22"/>
                <w:szCs w:val="22"/>
                <w:vertAlign w:val="baseline"/>
              </w:rPr>
              <w:t xml:space="preserve">.</w:t>
            </w:r>
            <w:r>
              <w:rPr>
                <w:sz w:val="22"/>
                <w:szCs w:val="22"/>
                <w:vertAlign w:val="baseline"/>
              </w:rPr>
              <w:t xml:space="preserve">4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ФГБУ «УГМС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Республики Татарстан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»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организации деятельности по обеспечению потребностей государства, юридических и физических лиц в 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гидрометеорологической информации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, в том числе экстренной информации на территории Республики Татарстан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Камеральная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июнь-июль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785"/>
        </w:trPr>
        <w:tc>
          <w:tcPr>
            <w:tcBorders>
              <w:bottom w:val="single" w:color="000000" w:sz="4" w:space="0"/>
            </w:tcBorders>
            <w:tcW w:w="1334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(п.</w:t>
            </w:r>
            <w:r>
              <w:rPr>
                <w:sz w:val="22"/>
                <w:szCs w:val="22"/>
                <w:vertAlign w:val="baseline"/>
              </w:rPr>
              <w:t xml:space="preserve">3.11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Мордовский ЦГМС-ФГБУ «Верхне-Волжское УГМС»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ведения финансово-хозяйственной деятельности, бухгалтерского учета и достоверности отчетности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Комбинированная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июль-август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</w:pP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п.</w:t>
            </w:r>
            <w:r>
              <w:rPr>
                <w:sz w:val="22"/>
                <w:szCs w:val="22"/>
              </w:rPr>
              <w:t xml:space="preserve">1.7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Удмурт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ский ЦГМС – филиал ФГБУ «Верхне-Волжское УГМС» 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Проверка организации деятельности по обеспечению потребности государства, юридических и физических лиц в 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гидрометеорологической информации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, в том числе экстренной информации на территории Удмуртской Республики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Камеральная 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октябрь-ноябрь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>
              <w:rPr>
                <w:rFonts w:eastAsia="Calibri"/>
                <w:sz w:val="22"/>
                <w:lang w:eastAsia="en-US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highlight w:val="none"/>
              </w:rPr>
              <w:t xml:space="preserve">(п.6</w:t>
            </w:r>
            <w:r>
              <w:rPr>
                <w:sz w:val="22"/>
                <w:szCs w:val="22"/>
                <w:highlight w:val="none"/>
                <w:vertAlign w:val="superscript"/>
              </w:rPr>
              <w:t xml:space="preserve">2</w:t>
            </w:r>
            <w:r>
              <w:rPr>
                <w:sz w:val="22"/>
                <w:szCs w:val="22"/>
                <w:highlight w:val="none"/>
                <w:vertAlign w:val="baseline"/>
              </w:rPr>
              <w:t xml:space="preserve">)</w:t>
            </w:r>
            <w:r>
              <w:rPr>
                <w:sz w:val="22"/>
                <w:szCs w:val="22"/>
                <w:vertAlign w:val="baseline"/>
              </w:rPr>
            </w:r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ФГБУ «УГМС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Республики Татарстан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</w:r>
            <w:r/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соблюдения законодательства Российской Федерации о контрактной системе в сфере закупок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Документарная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октябрь-ноябрь</w:t>
            </w:r>
            <w:r/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/>
            <w:r/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34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</w:p>
          <w:p>
            <w:pPr>
              <w:pStyle w:val="864"/>
              <w:jc w:val="center"/>
              <w:shd w:val="clear" w:fill="FFFFFF" w:color="FFFFFF" w:themeFill="background1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highlight w:val="none"/>
              </w:rPr>
              <w:t xml:space="preserve">(п.5</w:t>
            </w:r>
            <w:r>
              <w:rPr>
                <w:sz w:val="22"/>
                <w:szCs w:val="22"/>
                <w:highlight w:val="none"/>
                <w:vertAlign w:val="superscript"/>
              </w:rPr>
              <w:t xml:space="preserve">3</w:t>
            </w:r>
            <w:r>
              <w:rPr>
                <w:sz w:val="22"/>
                <w:szCs w:val="22"/>
                <w:highlight w:val="none"/>
                <w:vertAlign w:val="baseline"/>
              </w:rPr>
              <w:t xml:space="preserve">)</w:t>
            </w:r>
            <w:r>
              <w:rPr>
                <w:sz w:val="22"/>
                <w:szCs w:val="22"/>
                <w:vertAlign w:val="baseline"/>
              </w:rPr>
            </w:r>
          </w:p>
        </w:tc>
        <w:tc>
          <w:tcPr>
            <w:tcBorders>
              <w:bottom w:val="single" w:color="000000" w:sz="4" w:space="0"/>
            </w:tcBorders>
            <w:tcW w:w="301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ФГБУ «УГМС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Республики Татарстан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» </w:t>
            </w:r>
            <w:r/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5345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</w:pPr>
            <w:r>
              <w:rPr>
                <w:sz w:val="22"/>
                <w:szCs w:val="22"/>
              </w:rPr>
              <w:t xml:space="preserve">Проверка соблюдения требований Федерального закона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18.07.2011 № 223-ФЗ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02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Документарная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октябрь-ноябрь</w:t>
            </w:r>
            <w:r>
              <w:rPr>
                <w:rFonts w:eastAsia="Calibri"/>
                <w:sz w:val="22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Департамент Росгидромета по ПФО.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/>
          </w:p>
          <w:p>
            <w:pPr>
              <w:pStyle w:val="864"/>
              <w:jc w:val="center"/>
              <w:shd w:val="clear" w:fill="FFFFFF" w:color="FFFFFF" w:themeFill="background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согласно приказу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even" r:id="rId11"/>
      <w:footnotePr/>
      <w:endnotePr/>
      <w:type w:val="continuous"/>
      <w:pgSz w:w="16840" w:h="11907" w:orient="landscape"/>
      <w:pgMar w:top="425" w:right="414" w:bottom="567" w:left="284" w:header="283" w:footer="28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/>
  </w:p>
  <w:p>
    <w:pPr>
      <w:pStyle w:val="8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</w:r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3</w:t>
    </w:r>
    <w:r>
      <w:rPr>
        <w:rStyle w:val="877"/>
      </w:rPr>
      <w:fldChar w:fldCharType="end"/>
    </w:r>
    <w:r>
      <w:rPr>
        <w:rStyle w:val="877"/>
      </w:rPr>
    </w:r>
    <w:r/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4"/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link w:val="6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7">
    <w:name w:val="Heading 1 Char"/>
    <w:link w:val="686"/>
    <w:uiPriority w:val="9"/>
    <w:rPr>
      <w:rFonts w:ascii="Arial" w:hAnsi="Arial" w:cs="Arial" w:eastAsia="Arial"/>
      <w:sz w:val="40"/>
      <w:szCs w:val="40"/>
    </w:rPr>
  </w:style>
  <w:style w:type="paragraph" w:styleId="688">
    <w:name w:val="Heading 2"/>
    <w:link w:val="6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9">
    <w:name w:val="Heading 2 Char"/>
    <w:link w:val="688"/>
    <w:uiPriority w:val="9"/>
    <w:rPr>
      <w:rFonts w:ascii="Arial" w:hAnsi="Arial" w:cs="Arial" w:eastAsia="Arial"/>
      <w:sz w:val="34"/>
    </w:rPr>
  </w:style>
  <w:style w:type="paragraph" w:styleId="690">
    <w:name w:val="Heading 3"/>
    <w:link w:val="6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91">
    <w:name w:val="Heading 3 Char"/>
    <w:link w:val="690"/>
    <w:uiPriority w:val="9"/>
    <w:rPr>
      <w:rFonts w:ascii="Arial" w:hAnsi="Arial" w:cs="Arial" w:eastAsia="Arial"/>
      <w:sz w:val="30"/>
      <w:szCs w:val="30"/>
    </w:rPr>
  </w:style>
  <w:style w:type="paragraph" w:styleId="692">
    <w:name w:val="Heading 4"/>
    <w:link w:val="6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3">
    <w:name w:val="Heading 4 Char"/>
    <w:link w:val="692"/>
    <w:uiPriority w:val="9"/>
    <w:rPr>
      <w:rFonts w:ascii="Arial" w:hAnsi="Arial" w:cs="Arial" w:eastAsia="Arial"/>
      <w:b/>
      <w:bCs/>
      <w:sz w:val="26"/>
      <w:szCs w:val="26"/>
    </w:rPr>
  </w:style>
  <w:style w:type="paragraph" w:styleId="694">
    <w:name w:val="Heading 5"/>
    <w:link w:val="6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5">
    <w:name w:val="Heading 5 Char"/>
    <w:link w:val="694"/>
    <w:uiPriority w:val="9"/>
    <w:rPr>
      <w:rFonts w:ascii="Arial" w:hAnsi="Arial" w:cs="Arial" w:eastAsia="Arial"/>
      <w:b/>
      <w:bCs/>
      <w:sz w:val="24"/>
      <w:szCs w:val="24"/>
    </w:rPr>
  </w:style>
  <w:style w:type="paragraph" w:styleId="696">
    <w:name w:val="Heading 6"/>
    <w:link w:val="6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7">
    <w:name w:val="Heading 6 Char"/>
    <w:link w:val="696"/>
    <w:uiPriority w:val="9"/>
    <w:rPr>
      <w:rFonts w:ascii="Arial" w:hAnsi="Arial" w:cs="Arial" w:eastAsia="Arial"/>
      <w:b/>
      <w:bCs/>
      <w:sz w:val="22"/>
      <w:szCs w:val="22"/>
    </w:rPr>
  </w:style>
  <w:style w:type="paragraph" w:styleId="698">
    <w:name w:val="Heading 7"/>
    <w:link w:val="6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9">
    <w:name w:val="Heading 7 Char"/>
    <w:link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0">
    <w:name w:val="Heading 8"/>
    <w:link w:val="7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01">
    <w:name w:val="Heading 8 Char"/>
    <w:link w:val="700"/>
    <w:uiPriority w:val="9"/>
    <w:rPr>
      <w:rFonts w:ascii="Arial" w:hAnsi="Arial" w:cs="Arial" w:eastAsia="Arial"/>
      <w:i/>
      <w:iCs/>
      <w:sz w:val="22"/>
      <w:szCs w:val="22"/>
    </w:rPr>
  </w:style>
  <w:style w:type="paragraph" w:styleId="702">
    <w:name w:val="Heading 9"/>
    <w:link w:val="70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3">
    <w:name w:val="Heading 9 Char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704">
    <w:name w:val="List Paragraph"/>
    <w:qFormat/>
    <w:uiPriority w:val="34"/>
    <w:pPr>
      <w:contextualSpacing w:val="true"/>
      <w:ind w:left="720"/>
    </w:pPr>
  </w:style>
  <w:style w:type="paragraph" w:styleId="705">
    <w:name w:val="No Spacing"/>
    <w:qFormat/>
    <w:uiPriority w:val="1"/>
    <w:pPr>
      <w:spacing w:lineRule="auto" w:line="240" w:after="0" w:before="0"/>
    </w:pPr>
  </w:style>
  <w:style w:type="paragraph" w:styleId="706">
    <w:name w:val="Title"/>
    <w:link w:val="70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link w:val="709"/>
    <w:qFormat/>
    <w:uiPriority w:val="11"/>
    <w:rPr>
      <w:sz w:val="24"/>
      <w:szCs w:val="24"/>
    </w:rPr>
    <w:pPr>
      <w:spacing w:after="200" w:before="200"/>
    </w:p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link w:val="711"/>
    <w:qFormat/>
    <w:uiPriority w:val="29"/>
    <w:rPr>
      <w:i/>
    </w:rPr>
    <w:pPr>
      <w:ind w:left="720" w:right="720"/>
    </w:p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link w:val="71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link w:val="7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link w:val="7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5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5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5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5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5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5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6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6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6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9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1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3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3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3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3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3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3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3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3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3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3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4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4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4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link w:val="848"/>
    <w:uiPriority w:val="99"/>
    <w:semiHidden/>
    <w:unhideWhenUsed/>
    <w:rPr>
      <w:sz w:val="18"/>
    </w:rPr>
    <w:pPr>
      <w:spacing w:lineRule="auto" w:line="240" w:after="40"/>
    </w:p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link w:val="851"/>
    <w:uiPriority w:val="99"/>
    <w:semiHidden/>
    <w:unhideWhenUsed/>
    <w:rPr>
      <w:sz w:val="20"/>
    </w:rPr>
    <w:pPr>
      <w:spacing w:lineRule="auto" w:line="240" w:after="0"/>
    </w:p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uiPriority w:val="39"/>
    <w:unhideWhenUsed/>
    <w:pPr>
      <w:ind w:left="0" w:right="0" w:firstLine="0"/>
      <w:spacing w:after="57"/>
    </w:pPr>
  </w:style>
  <w:style w:type="paragraph" w:styleId="854">
    <w:name w:val="toc 2"/>
    <w:uiPriority w:val="39"/>
    <w:unhideWhenUsed/>
    <w:pPr>
      <w:ind w:left="283" w:right="0" w:firstLine="0"/>
      <w:spacing w:after="57"/>
    </w:pPr>
  </w:style>
  <w:style w:type="paragraph" w:styleId="855">
    <w:name w:val="toc 3"/>
    <w:uiPriority w:val="39"/>
    <w:unhideWhenUsed/>
    <w:pPr>
      <w:ind w:left="567" w:right="0" w:firstLine="0"/>
      <w:spacing w:after="57"/>
    </w:pPr>
  </w:style>
  <w:style w:type="paragraph" w:styleId="856">
    <w:name w:val="toc 4"/>
    <w:uiPriority w:val="39"/>
    <w:unhideWhenUsed/>
    <w:pPr>
      <w:ind w:left="850" w:right="0" w:firstLine="0"/>
      <w:spacing w:after="57"/>
    </w:pPr>
  </w:style>
  <w:style w:type="paragraph" w:styleId="857">
    <w:name w:val="toc 5"/>
    <w:uiPriority w:val="39"/>
    <w:unhideWhenUsed/>
    <w:pPr>
      <w:ind w:left="1134" w:right="0" w:firstLine="0"/>
      <w:spacing w:after="57"/>
    </w:pPr>
  </w:style>
  <w:style w:type="paragraph" w:styleId="858">
    <w:name w:val="toc 6"/>
    <w:uiPriority w:val="39"/>
    <w:unhideWhenUsed/>
    <w:pPr>
      <w:ind w:left="1417" w:right="0" w:firstLine="0"/>
      <w:spacing w:after="57"/>
    </w:pPr>
  </w:style>
  <w:style w:type="paragraph" w:styleId="859">
    <w:name w:val="toc 7"/>
    <w:uiPriority w:val="39"/>
    <w:unhideWhenUsed/>
    <w:pPr>
      <w:ind w:left="1701" w:right="0" w:firstLine="0"/>
      <w:spacing w:after="57"/>
    </w:pPr>
  </w:style>
  <w:style w:type="paragraph" w:styleId="860">
    <w:name w:val="toc 8"/>
    <w:uiPriority w:val="39"/>
    <w:unhideWhenUsed/>
    <w:pPr>
      <w:ind w:left="1984" w:right="0" w:firstLine="0"/>
      <w:spacing w:after="57"/>
    </w:pPr>
  </w:style>
  <w:style w:type="paragraph" w:styleId="861">
    <w:name w:val="toc 9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uiPriority w:val="99"/>
    <w:unhideWhenUsed/>
    <w:pPr>
      <w:spacing w:after="0" w:afterAutospacing="0"/>
    </w:pPr>
  </w:style>
  <w:style w:type="paragraph" w:styleId="864">
    <w:name w:val="Обычный"/>
    <w:next w:val="864"/>
    <w:link w:val="864"/>
    <w:rPr>
      <w:lang w:val="ru-RU" w:bidi="ar-SA" w:eastAsia="ru-RU"/>
    </w:rPr>
  </w:style>
  <w:style w:type="paragraph" w:styleId="865">
    <w:name w:val="Заголовок 1"/>
    <w:basedOn w:val="864"/>
    <w:next w:val="864"/>
    <w:link w:val="864"/>
    <w:rPr>
      <w:sz w:val="24"/>
    </w:rPr>
    <w:pPr>
      <w:jc w:val="right"/>
      <w:keepNext/>
      <w:outlineLvl w:val="0"/>
    </w:pPr>
  </w:style>
  <w:style w:type="paragraph" w:styleId="866">
    <w:name w:val="Заголовок 2"/>
    <w:basedOn w:val="864"/>
    <w:next w:val="864"/>
    <w:link w:val="864"/>
    <w:rPr>
      <w:sz w:val="24"/>
    </w:rPr>
    <w:pPr>
      <w:jc w:val="center"/>
      <w:keepNext/>
      <w:outlineLvl w:val="1"/>
    </w:pPr>
  </w:style>
  <w:style w:type="paragraph" w:styleId="867">
    <w:name w:val="Заголовок 3"/>
    <w:basedOn w:val="864"/>
    <w:next w:val="864"/>
    <w:link w:val="884"/>
    <w:rPr>
      <w:sz w:val="24"/>
      <w:lang w:val="en-US" w:eastAsia="en-US"/>
    </w:rPr>
    <w:pPr>
      <w:keepNext/>
      <w:outlineLvl w:val="2"/>
    </w:pPr>
  </w:style>
  <w:style w:type="paragraph" w:styleId="868">
    <w:name w:val="Заголовок 4"/>
    <w:basedOn w:val="864"/>
    <w:next w:val="864"/>
    <w:link w:val="864"/>
    <w:rPr>
      <w:b/>
      <w:sz w:val="28"/>
    </w:rPr>
    <w:pPr>
      <w:jc w:val="center"/>
      <w:keepNext/>
      <w:outlineLvl w:val="3"/>
    </w:pPr>
  </w:style>
  <w:style w:type="paragraph" w:styleId="869">
    <w:name w:val="Заголовок 5"/>
    <w:basedOn w:val="864"/>
    <w:next w:val="864"/>
    <w:link w:val="864"/>
    <w:rPr>
      <w:sz w:val="28"/>
    </w:rPr>
    <w:pPr>
      <w:jc w:val="center"/>
      <w:keepNext/>
      <w:outlineLvl w:val="4"/>
    </w:pPr>
  </w:style>
  <w:style w:type="character" w:styleId="870">
    <w:name w:val="Основной шрифт абзаца"/>
    <w:next w:val="870"/>
    <w:link w:val="864"/>
    <w:semiHidden/>
  </w:style>
  <w:style w:type="table" w:styleId="871">
    <w:name w:val="Обычная таблица"/>
    <w:next w:val="871"/>
    <w:link w:val="864"/>
    <w:semiHidden/>
    <w:tblPr/>
  </w:style>
  <w:style w:type="numbering" w:styleId="872">
    <w:name w:val="Нет списка"/>
    <w:next w:val="872"/>
    <w:link w:val="864"/>
    <w:semiHidden/>
  </w:style>
  <w:style w:type="paragraph" w:styleId="873">
    <w:name w:val="Основной текст"/>
    <w:basedOn w:val="864"/>
    <w:next w:val="873"/>
    <w:link w:val="864"/>
    <w:semiHidden/>
    <w:pPr>
      <w:spacing w:after="120"/>
    </w:pPr>
  </w:style>
  <w:style w:type="paragraph" w:styleId="874">
    <w:name w:val="Подзаголовок"/>
    <w:basedOn w:val="864"/>
    <w:next w:val="874"/>
    <w:link w:val="864"/>
    <w:rPr>
      <w:rFonts w:ascii="Arial" w:hAnsi="Arial"/>
      <w:sz w:val="24"/>
    </w:rPr>
    <w:pPr>
      <w:jc w:val="center"/>
      <w:spacing w:after="60"/>
      <w:outlineLvl w:val="1"/>
    </w:pPr>
  </w:style>
  <w:style w:type="paragraph" w:styleId="875">
    <w:name w:val="Список"/>
    <w:basedOn w:val="864"/>
    <w:next w:val="875"/>
    <w:link w:val="864"/>
    <w:semiHidden/>
    <w:pPr>
      <w:ind w:left="283" w:hanging="283"/>
    </w:pPr>
  </w:style>
  <w:style w:type="paragraph" w:styleId="876">
    <w:name w:val="Верхний колонтитул"/>
    <w:basedOn w:val="864"/>
    <w:next w:val="876"/>
    <w:link w:val="864"/>
    <w:semiHidden/>
    <w:pPr>
      <w:tabs>
        <w:tab w:val="center" w:pos="4153" w:leader="none"/>
        <w:tab w:val="right" w:pos="8306" w:leader="none"/>
      </w:tabs>
    </w:pPr>
  </w:style>
  <w:style w:type="character" w:styleId="877">
    <w:name w:val="Номер страницы"/>
    <w:basedOn w:val="870"/>
    <w:next w:val="877"/>
    <w:link w:val="864"/>
    <w:semiHidden/>
  </w:style>
  <w:style w:type="paragraph" w:styleId="878">
    <w:name w:val="Основной текст 2"/>
    <w:basedOn w:val="864"/>
    <w:next w:val="878"/>
    <w:link w:val="864"/>
    <w:semiHidden/>
    <w:rPr>
      <w:sz w:val="28"/>
    </w:rPr>
  </w:style>
  <w:style w:type="paragraph" w:styleId="879">
    <w:name w:val="Нижний колонтитул"/>
    <w:basedOn w:val="864"/>
    <w:next w:val="879"/>
    <w:link w:val="864"/>
    <w:semiHidden/>
    <w:pPr>
      <w:tabs>
        <w:tab w:val="center" w:pos="4153" w:leader="none"/>
        <w:tab w:val="right" w:pos="8306" w:leader="none"/>
      </w:tabs>
    </w:pPr>
  </w:style>
  <w:style w:type="paragraph" w:styleId="880">
    <w:name w:val="Цитата"/>
    <w:basedOn w:val="864"/>
    <w:next w:val="880"/>
    <w:link w:val="864"/>
    <w:semiHidden/>
    <w:rPr>
      <w:sz w:val="28"/>
    </w:rPr>
    <w:pPr>
      <w:ind w:left="-108" w:right="-108"/>
      <w:jc w:val="center"/>
    </w:pPr>
  </w:style>
  <w:style w:type="paragraph" w:styleId="881">
    <w:name w:val="Основной текст 3"/>
    <w:basedOn w:val="864"/>
    <w:next w:val="881"/>
    <w:link w:val="864"/>
    <w:semiHidden/>
    <w:rPr>
      <w:sz w:val="28"/>
    </w:rPr>
    <w:pPr>
      <w:ind w:right="-108"/>
      <w:jc w:val="center"/>
    </w:pPr>
  </w:style>
  <w:style w:type="paragraph" w:styleId="882">
    <w:name w:val="Текст выноски"/>
    <w:basedOn w:val="864"/>
    <w:next w:val="882"/>
    <w:link w:val="883"/>
    <w:semiHidden/>
    <w:rPr>
      <w:rFonts w:ascii="Tahoma" w:hAnsi="Tahoma"/>
      <w:sz w:val="16"/>
      <w:szCs w:val="16"/>
      <w:lang w:val="en-US" w:eastAsia="en-US"/>
    </w:rPr>
  </w:style>
  <w:style w:type="character" w:styleId="883">
    <w:name w:val="Текст выноски Знак"/>
    <w:next w:val="883"/>
    <w:link w:val="882"/>
    <w:semiHidden/>
    <w:rPr>
      <w:rFonts w:ascii="Tahoma" w:hAnsi="Tahoma"/>
      <w:sz w:val="16"/>
      <w:szCs w:val="16"/>
    </w:rPr>
  </w:style>
  <w:style w:type="character" w:styleId="884">
    <w:name w:val="Заголовок 3 Знак"/>
    <w:next w:val="884"/>
    <w:link w:val="867"/>
    <w:rPr>
      <w:sz w:val="24"/>
    </w:rPr>
  </w:style>
  <w:style w:type="table" w:styleId="885">
    <w:name w:val="Сетка таблицы"/>
    <w:basedOn w:val="871"/>
    <w:next w:val="885"/>
    <w:link w:val="864"/>
    <w:rPr>
      <w:rFonts w:ascii="Calibri" w:hAnsi="Calibri" w:eastAsia="Calibri"/>
      <w:sz w:val="22"/>
      <w:szCs w:val="22"/>
      <w:lang w:eastAsia="en-US"/>
    </w:rPr>
    <w:tblPr/>
  </w:style>
  <w:style w:type="character" w:styleId="886">
    <w:name w:val="Основной текст (2) + 11 pt"/>
    <w:next w:val="886"/>
    <w:link w:val="864"/>
    <w:rPr>
      <w:rFonts w:ascii="Times New Roman" w:hAnsi="Times New Roman" w:eastAsia="Times New Roman"/>
      <w:color w:val="000000"/>
      <w:spacing w:val="0"/>
      <w:position w:val="0"/>
      <w:sz w:val="22"/>
      <w:szCs w:val="22"/>
      <w:shd w:val="clear" w:fill="FFFFFF" w:color="FFFFFF"/>
      <w:lang w:val="ru-RU" w:bidi="ru-RU" w:eastAsia="ru-RU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paragraph" w:styleId="889" w:default="1">
    <w:name w:val="Normal"/>
    <w:qFormat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2024-01-23T10:48:52Z</dcterms:modified>
</cp:coreProperties>
</file>